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33</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Gridded Species Distribution</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griddedSpecies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Gridded Species Distribution data collection contains richness grids for amphibian and mammal families, and IUCN Red List Threat categories which include all species that are threatened (All Threats), Critically Endangered, Endangered, and Vulnerable.  The download facility allows for users to locate and download 30 arc-second (~1 kilometer) resolution rasters of the species family and threat categories.  The grids are available in GeoTIFF format.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Rodó, Xavier; San-José, Adrià; Kirchgatter, Karin; López, Leonardo. 2021. Changing climate and the COVID-19 pandemic: more than just heads or tails. [Nature Medicine] . 27(4): 576-579 DOI: https://doi.org/10.1038/s41591-021-01303-y</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Mammal Richness Grids, Global Amphibians Richness Grids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2015</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30 arc-second</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https://sedac.ciesin.columbia.edu/data/set/species-global-mammal-richness-2015/data-download</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griddedSpecie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